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D77437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جانورشناسی </w:t>
      </w:r>
      <w:r w:rsidR="00D77437">
        <w:rPr>
          <w:rFonts w:ascii="Times New Roman" w:hAnsi="Times New Roman" w:cs="B Nazanin" w:hint="cs"/>
          <w:sz w:val="20"/>
          <w:szCs w:val="24"/>
          <w:rtl/>
          <w:lang w:bidi="fa-IR"/>
        </w:rPr>
        <w:t>بی مهرگان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D77437">
        <w:rPr>
          <w:rFonts w:ascii="Times New Roman" w:hAnsi="Times New Roman" w:cs="B Nazanin"/>
          <w:sz w:val="20"/>
          <w:szCs w:val="24"/>
          <w:lang w:bidi="fa-IR"/>
        </w:rPr>
        <w:t>Inv</w:t>
      </w:r>
      <w:r w:rsidR="004551BA" w:rsidRPr="004551BA">
        <w:rPr>
          <w:rFonts w:ascii="Times New Roman" w:hAnsi="Times New Roman" w:cs="B Nazanin"/>
          <w:sz w:val="20"/>
          <w:szCs w:val="24"/>
          <w:lang w:bidi="fa-IR"/>
        </w:rPr>
        <w:t>ertebrate Zoology</w:t>
      </w:r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7B7567" w:rsidRDefault="00CD49AC" w:rsidP="00CD49AC">
      <w:pPr>
        <w:bidi/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F1565A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دانشجویان با تنوع بسیار زیاد بی مهرگان در محیط های آبی و خشکی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871"/>
        <w:gridCol w:w="8482"/>
      </w:tblGrid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8482" w:type="dxa"/>
          </w:tcPr>
          <w:p w:rsidR="00CD49AC" w:rsidRPr="00886819" w:rsidRDefault="00F1565A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مقدمه، مقایسه محیط های آبی و خشکی و اثرات فرگشتی این محیط ها بر فیزیولوژی، ریخت شناسی و رفتار جانوران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8482" w:type="dxa"/>
          </w:tcPr>
          <w:p w:rsidR="00CD49AC" w:rsidRPr="00886819" w:rsidRDefault="00F1565A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فرگشت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،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تبارزایی و رده بندی بی مهرگان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8482" w:type="dxa"/>
          </w:tcPr>
          <w:p w:rsidR="00CD49AC" w:rsidRPr="00886819" w:rsidRDefault="00F1565A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ارتباط متازوآ و پروتوزوآ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8482" w:type="dxa"/>
          </w:tcPr>
          <w:p w:rsidR="00CD49AC" w:rsidRPr="00886819" w:rsidRDefault="00F1565A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های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Placozoa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Porifera</w:t>
            </w:r>
            <w:proofErr w:type="spellEnd"/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8482" w:type="dxa"/>
          </w:tcPr>
          <w:p w:rsidR="00CD49AC" w:rsidRPr="00886819" w:rsidRDefault="00F1565A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ای بر اسکلت هیدروستاتیک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8482" w:type="dxa"/>
          </w:tcPr>
          <w:p w:rsidR="00CD49AC" w:rsidRPr="00F26C38" w:rsidRDefault="00F1565A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Cnidaria</w:t>
            </w:r>
            <w:proofErr w:type="spellEnd"/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8482" w:type="dxa"/>
          </w:tcPr>
          <w:p w:rsidR="00CD49AC" w:rsidRPr="00F26C38" w:rsidRDefault="00F1565A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Ctenophora</w:t>
            </w:r>
            <w:proofErr w:type="spellEnd"/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8482" w:type="dxa"/>
          </w:tcPr>
          <w:p w:rsidR="00CD49AC" w:rsidRPr="00F26C38" w:rsidRDefault="00F1565A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ای بر تقارن دوجانبی و سرزایی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های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Playtyhelminthes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Nemetea</w:t>
            </w:r>
            <w:proofErr w:type="spellEnd"/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Mollusca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بر متامریسم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Annelida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گروه های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Echiurans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Sipunchulans</w:t>
            </w:r>
            <w:proofErr w:type="spellEnd"/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گروه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Gnathifers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شامل شاخه های 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Acanthocephala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،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Rotifera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شاخه های مرتبط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پانزدهم</w:t>
            </w:r>
          </w:p>
        </w:tc>
        <w:tc>
          <w:tcPr>
            <w:tcW w:w="8482" w:type="dxa"/>
          </w:tcPr>
          <w:p w:rsidR="00CD49AC" w:rsidRPr="00F26C38" w:rsidRDefault="00300441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Arthropoda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خویشاوندان آن ها (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Tardigrades and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Onychophorans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8482" w:type="dxa"/>
          </w:tcPr>
          <w:p w:rsidR="00CD49AC" w:rsidRPr="00F26C38" w:rsidRDefault="0073198D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نماتودا و خویشاوندان احتمالی آن ها (</w:t>
            </w:r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Nematodes,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Nematomorphes</w:t>
            </w:r>
            <w:proofErr w:type="spellEnd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,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Priapulida</w:t>
            </w:r>
            <w:proofErr w:type="spellEnd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,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Kinorhunchs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73198D" w:rsidTr="00F26C38">
        <w:tc>
          <w:tcPr>
            <w:tcW w:w="871" w:type="dxa"/>
          </w:tcPr>
          <w:p w:rsidR="0073198D" w:rsidRDefault="004D1F5F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هفدهم</w:t>
            </w:r>
          </w:p>
        </w:tc>
        <w:tc>
          <w:tcPr>
            <w:tcW w:w="8482" w:type="dxa"/>
          </w:tcPr>
          <w:p w:rsidR="0073198D" w:rsidRDefault="0073198D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گروه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Lophophorates</w:t>
            </w:r>
            <w:proofErr w:type="spellEnd"/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شامل شاخه های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Bryozoa</w:t>
            </w:r>
            <w:proofErr w:type="spellEnd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,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Brachiopoda</w:t>
            </w:r>
            <w:proofErr w:type="spellEnd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 xml:space="preserve">,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Phoronida</w:t>
            </w:r>
            <w:proofErr w:type="spellEnd"/>
          </w:p>
        </w:tc>
      </w:tr>
      <w:tr w:rsidR="0073198D" w:rsidTr="00F26C38">
        <w:tc>
          <w:tcPr>
            <w:tcW w:w="871" w:type="dxa"/>
          </w:tcPr>
          <w:p w:rsidR="0073198D" w:rsidRDefault="004D1F5F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هجدهم</w:t>
            </w:r>
          </w:p>
        </w:tc>
        <w:tc>
          <w:tcPr>
            <w:tcW w:w="8482" w:type="dxa"/>
          </w:tcPr>
          <w:p w:rsidR="0073198D" w:rsidRDefault="0073198D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شاخه </w:t>
            </w:r>
            <w:proofErr w:type="spellStart"/>
            <w:r>
              <w:rPr>
                <w:rFonts w:ascii="Times New Roman" w:hAnsi="Times New Roman" w:cs="B Nazanin"/>
                <w:sz w:val="20"/>
                <w:szCs w:val="24"/>
                <w:lang w:bidi="fa-IR"/>
              </w:rPr>
              <w:t>Echinuderms</w:t>
            </w:r>
            <w:proofErr w:type="spellEnd"/>
          </w:p>
        </w:tc>
      </w:tr>
      <w:tr w:rsidR="0073198D" w:rsidTr="00F26C38">
        <w:tc>
          <w:tcPr>
            <w:tcW w:w="871" w:type="dxa"/>
          </w:tcPr>
          <w:p w:rsidR="0073198D" w:rsidRDefault="004D1F5F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نوزدهم</w:t>
            </w:r>
          </w:p>
        </w:tc>
        <w:tc>
          <w:tcPr>
            <w:tcW w:w="8482" w:type="dxa"/>
          </w:tcPr>
          <w:p w:rsidR="0073198D" w:rsidRDefault="0073198D" w:rsidP="0073198D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ای بر دوتروستوم ها، نمای مقایسه تولیدمثل و تکوین در بی مهرگان</w:t>
            </w:r>
          </w:p>
        </w:tc>
      </w:tr>
      <w:tr w:rsidR="0073198D" w:rsidTr="00F26C38">
        <w:tc>
          <w:tcPr>
            <w:tcW w:w="871" w:type="dxa"/>
          </w:tcPr>
          <w:p w:rsidR="0073198D" w:rsidRDefault="004D1F5F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بیستم</w:t>
            </w:r>
          </w:p>
        </w:tc>
        <w:tc>
          <w:tcPr>
            <w:tcW w:w="8482" w:type="dxa"/>
          </w:tcPr>
          <w:p w:rsidR="0073198D" w:rsidRDefault="0073198D" w:rsidP="0073198D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جمع بندی کلی- جایگاه فرگشتی بی مهرگان، ارتباط تبارزایشی بی مهرگان با یکدیگر و با طنابداران</w:t>
            </w:r>
          </w:p>
        </w:tc>
      </w:tr>
      <w:tr w:rsidR="0073198D" w:rsidTr="00F26C38">
        <w:tc>
          <w:tcPr>
            <w:tcW w:w="871" w:type="dxa"/>
          </w:tcPr>
          <w:p w:rsidR="0073198D" w:rsidRDefault="004D1F5F" w:rsidP="00CD49AC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بیست و یکم</w:t>
            </w:r>
          </w:p>
        </w:tc>
        <w:tc>
          <w:tcPr>
            <w:tcW w:w="8482" w:type="dxa"/>
          </w:tcPr>
          <w:p w:rsidR="0073198D" w:rsidRDefault="0073198D" w:rsidP="0073198D">
            <w:pPr>
              <w:bidi/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سفرعلمی، عملیت محیطی</w:t>
            </w:r>
          </w:p>
        </w:tc>
      </w:tr>
    </w:tbl>
    <w:p w:rsidR="004551BA" w:rsidRDefault="004551BA" w:rsidP="004551BA">
      <w:pPr>
        <w:bidi/>
        <w:rPr>
          <w:rFonts w:hint="cs"/>
          <w:rtl/>
          <w:lang w:bidi="fa-IR"/>
        </w:rPr>
      </w:pPr>
      <w:bookmarkStart w:id="0" w:name="_GoBack"/>
      <w:bookmarkEnd w:id="0"/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B0F60"/>
    <w:rsid w:val="0014559C"/>
    <w:rsid w:val="00300441"/>
    <w:rsid w:val="004551BA"/>
    <w:rsid w:val="0047222F"/>
    <w:rsid w:val="004D1F5F"/>
    <w:rsid w:val="0070797D"/>
    <w:rsid w:val="0073198D"/>
    <w:rsid w:val="007B7567"/>
    <w:rsid w:val="00886819"/>
    <w:rsid w:val="00941D95"/>
    <w:rsid w:val="00CD49AC"/>
    <w:rsid w:val="00D2640C"/>
    <w:rsid w:val="00D77437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EE84589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2019-09-13T14:07:00Z</dcterms:created>
  <dcterms:modified xsi:type="dcterms:W3CDTF">2019-09-13T14:25:00Z</dcterms:modified>
</cp:coreProperties>
</file>