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49AC" w:rsidRPr="0014559C" w:rsidRDefault="00CD49AC" w:rsidP="0014559C">
      <w:pPr>
        <w:bidi/>
        <w:jc w:val="center"/>
        <w:rPr>
          <w:rFonts w:ascii="Times New Roman" w:hAnsi="Times New Roman" w:cs="B Titr"/>
          <w:sz w:val="20"/>
          <w:szCs w:val="24"/>
          <w:rtl/>
          <w:lang w:bidi="fa-IR"/>
        </w:rPr>
      </w:pPr>
      <w:r w:rsidRPr="0014559C">
        <w:rPr>
          <w:rFonts w:ascii="Times New Roman" w:hAnsi="Times New Roman" w:cs="B Titr" w:hint="cs"/>
          <w:sz w:val="20"/>
          <w:szCs w:val="24"/>
          <w:rtl/>
          <w:lang w:bidi="fa-IR"/>
        </w:rPr>
        <w:t>به نام خدا</w:t>
      </w:r>
    </w:p>
    <w:p w:rsidR="00D2640C" w:rsidRDefault="00CD49AC" w:rsidP="002F564F">
      <w:pPr>
        <w:bidi/>
        <w:rPr>
          <w:rFonts w:ascii="Times New Roman" w:hAnsi="Times New Roman" w:cs="B Nazanin"/>
          <w:sz w:val="20"/>
          <w:szCs w:val="24"/>
          <w:rtl/>
          <w:lang w:bidi="fa-IR"/>
        </w:rPr>
      </w:pPr>
      <w:r w:rsidRPr="007B7567"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>عنوان درس:</w:t>
      </w:r>
      <w:r w:rsidR="004551BA" w:rsidRPr="004551BA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</w:t>
      </w:r>
      <w:r w:rsidR="002F564F">
        <w:rPr>
          <w:rFonts w:ascii="Times New Roman" w:hAnsi="Times New Roman" w:cs="B Nazanin" w:hint="cs"/>
          <w:sz w:val="20"/>
          <w:szCs w:val="24"/>
          <w:rtl/>
          <w:lang w:bidi="fa-IR"/>
        </w:rPr>
        <w:t>تکامل موجودات زنده</w:t>
      </w:r>
      <w:r w:rsidR="004551BA" w:rsidRPr="004551BA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</w:t>
      </w:r>
    </w:p>
    <w:p w:rsidR="00E87EDB" w:rsidRDefault="00E87EDB" w:rsidP="00E87EDB">
      <w:pPr>
        <w:bidi/>
        <w:rPr>
          <w:rFonts w:ascii="Times New Roman" w:hAnsi="Times New Roman" w:cs="B Nazanin" w:hint="cs"/>
          <w:sz w:val="20"/>
          <w:szCs w:val="24"/>
          <w:rtl/>
          <w:lang w:bidi="fa-IR"/>
        </w:rPr>
      </w:pPr>
      <w:r w:rsidRPr="00E87EDB"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>توجه مهم:</w:t>
      </w:r>
      <w:r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متاسفانه در متون فارسی واژه </w:t>
      </w:r>
      <w:r>
        <w:rPr>
          <w:rFonts w:ascii="Times New Roman" w:hAnsi="Times New Roman" w:cs="B Nazanin"/>
          <w:sz w:val="20"/>
          <w:szCs w:val="24"/>
          <w:lang w:bidi="fa-IR"/>
        </w:rPr>
        <w:t>Evolution</w:t>
      </w:r>
      <w:r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به اشتباه </w:t>
      </w:r>
      <w:bookmarkStart w:id="0" w:name="_GoBack"/>
      <w:r>
        <w:rPr>
          <w:rFonts w:ascii="Times New Roman" w:hAnsi="Times New Roman" w:cs="B Nazanin" w:hint="cs"/>
          <w:sz w:val="20"/>
          <w:szCs w:val="24"/>
          <w:rtl/>
          <w:lang w:bidi="fa-IR"/>
        </w:rPr>
        <w:t>تکامل</w:t>
      </w:r>
      <w:bookmarkEnd w:id="0"/>
      <w:r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ترجمه شده است در صورتی که ترجمه درست آن فرگشت می باشد. در تدریس این درس از واژه فرگشت استفاده می شود.</w:t>
      </w:r>
    </w:p>
    <w:p w:rsidR="00CD49AC" w:rsidRDefault="00CD49AC" w:rsidP="00F1565A">
      <w:pPr>
        <w:bidi/>
        <w:rPr>
          <w:rFonts w:ascii="Times New Roman" w:hAnsi="Times New Roman" w:cs="B Nazanin"/>
          <w:sz w:val="20"/>
          <w:szCs w:val="24"/>
          <w:rtl/>
          <w:lang w:bidi="fa-IR"/>
        </w:rPr>
      </w:pPr>
      <w:r w:rsidRPr="007B7567"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>واحد:</w:t>
      </w:r>
      <w:r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</w:t>
      </w:r>
      <w:r w:rsidR="00F1565A">
        <w:rPr>
          <w:rFonts w:ascii="Times New Roman" w:hAnsi="Times New Roman" w:cs="B Nazanin" w:hint="cs"/>
          <w:sz w:val="20"/>
          <w:szCs w:val="24"/>
          <w:rtl/>
          <w:lang w:bidi="fa-IR"/>
        </w:rPr>
        <w:t>3</w:t>
      </w:r>
      <w:r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واحد تخصصی الزامی</w:t>
      </w:r>
      <w:r w:rsidR="007B7567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(</w:t>
      </w:r>
      <w:r w:rsidR="00F1565A">
        <w:rPr>
          <w:rFonts w:ascii="Times New Roman" w:hAnsi="Times New Roman" w:cs="B Nazanin" w:hint="cs"/>
          <w:sz w:val="20"/>
          <w:szCs w:val="24"/>
          <w:rtl/>
          <w:lang w:bidi="fa-IR"/>
        </w:rPr>
        <w:t>48</w:t>
      </w:r>
      <w:r w:rsidR="007B7567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ساعت)</w:t>
      </w:r>
    </w:p>
    <w:p w:rsidR="00CD49AC" w:rsidRPr="004551BA" w:rsidRDefault="0014559C" w:rsidP="002F564F">
      <w:pPr>
        <w:bidi/>
        <w:ind w:left="4"/>
        <w:rPr>
          <w:rFonts w:ascii="Times New Roman" w:hAnsi="Times New Roman" w:cs="B Nazanin"/>
          <w:sz w:val="20"/>
          <w:szCs w:val="24"/>
          <w:lang w:bidi="fa-IR"/>
        </w:rPr>
      </w:pPr>
      <w:r w:rsidRPr="007B7567"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>اهداف درس:</w:t>
      </w:r>
      <w:r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هدف این درس آشنایی </w:t>
      </w:r>
      <w:r w:rsidR="00F1565A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دانشجویان </w:t>
      </w:r>
      <w:r w:rsidR="004B35D7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با نیروهای رانش فرگشت و سازوکارهای تغییر و تحول موجودات زنده، فرایند شکل گیری زمین و مولکول های آلی است. </w:t>
      </w:r>
    </w:p>
    <w:tbl>
      <w:tblPr>
        <w:tblStyle w:val="TableGrid"/>
        <w:bidiVisual/>
        <w:tblW w:w="9353" w:type="dxa"/>
        <w:tblInd w:w="-145" w:type="dxa"/>
        <w:tblLook w:val="04A0" w:firstRow="1" w:lastRow="0" w:firstColumn="1" w:lastColumn="0" w:noHBand="0" w:noVBand="1"/>
      </w:tblPr>
      <w:tblGrid>
        <w:gridCol w:w="1842"/>
        <w:gridCol w:w="7511"/>
      </w:tblGrid>
      <w:tr w:rsidR="00CD49AC" w:rsidTr="00930042">
        <w:tc>
          <w:tcPr>
            <w:tcW w:w="1842" w:type="dxa"/>
          </w:tcPr>
          <w:p w:rsidR="00CD49AC" w:rsidRDefault="00CD49AC" w:rsidP="00CD49AC">
            <w:pPr>
              <w:bidi/>
              <w:rPr>
                <w:rtl/>
                <w:lang w:bidi="fa-IR"/>
              </w:rPr>
            </w:pPr>
            <w:r w:rsidRPr="004551BA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اول</w:t>
            </w:r>
          </w:p>
        </w:tc>
        <w:tc>
          <w:tcPr>
            <w:tcW w:w="7511" w:type="dxa"/>
          </w:tcPr>
          <w:p w:rsidR="00CD49AC" w:rsidRPr="00886819" w:rsidRDefault="004B35D7" w:rsidP="00CD49AC">
            <w:pPr>
              <w:bidi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مقدمه ای بر فرگشت موجودات زنده، تعریف فرضیه و نظریه، فلسفه فرگشت، اهمیت علم فرگشت</w:t>
            </w:r>
          </w:p>
        </w:tc>
      </w:tr>
      <w:tr w:rsidR="00CD49AC" w:rsidTr="00930042">
        <w:tc>
          <w:tcPr>
            <w:tcW w:w="1842" w:type="dxa"/>
          </w:tcPr>
          <w:p w:rsidR="00CD49AC" w:rsidRPr="004551BA" w:rsidRDefault="00CD49AC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دوم</w:t>
            </w:r>
          </w:p>
        </w:tc>
        <w:tc>
          <w:tcPr>
            <w:tcW w:w="7511" w:type="dxa"/>
          </w:tcPr>
          <w:p w:rsidR="00CD49AC" w:rsidRPr="00886819" w:rsidRDefault="004B35D7" w:rsidP="00CD49AC">
            <w:pPr>
              <w:bidi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پیدایش جهان، نظریه بیگ بنگ، پیدایش زمین، منشا حیات و خصوصیات موجودات زنده</w:t>
            </w:r>
          </w:p>
        </w:tc>
      </w:tr>
      <w:tr w:rsidR="00CD49AC" w:rsidTr="00930042">
        <w:tc>
          <w:tcPr>
            <w:tcW w:w="1842" w:type="dxa"/>
          </w:tcPr>
          <w:p w:rsidR="00CD49AC" w:rsidRPr="004551BA" w:rsidRDefault="00CD49AC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سوم</w:t>
            </w:r>
          </w:p>
        </w:tc>
        <w:tc>
          <w:tcPr>
            <w:tcW w:w="7511" w:type="dxa"/>
          </w:tcPr>
          <w:p w:rsidR="00CD49AC" w:rsidRPr="00886819" w:rsidRDefault="004B35D7" w:rsidP="00AF448F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تاریخچه علم فرگشت از زمان افلاطون و ارسطو تا به حال، نظریه کوویه (ثبات گونه)، نظریه لامارک (ترنسفورمیسم) و نظریه فرگشتی داروین، </w:t>
            </w:r>
          </w:p>
        </w:tc>
      </w:tr>
      <w:tr w:rsidR="005A2E10" w:rsidTr="00930042">
        <w:tc>
          <w:tcPr>
            <w:tcW w:w="1842" w:type="dxa"/>
          </w:tcPr>
          <w:p w:rsidR="005A2E10" w:rsidRPr="004551BA" w:rsidRDefault="005A2E10" w:rsidP="005A2E10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چهارم</w:t>
            </w:r>
          </w:p>
        </w:tc>
        <w:tc>
          <w:tcPr>
            <w:tcW w:w="7511" w:type="dxa"/>
          </w:tcPr>
          <w:p w:rsidR="005A2E10" w:rsidRPr="00886819" w:rsidRDefault="00AF448F" w:rsidP="005828BA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نظریه وراثتی مندل، نظریه </w:t>
            </w:r>
            <w:r w:rsidR="005828BA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فرگشتی</w:t>
            </w: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 نوین (تلفیق تئوری انتخاب طبیعی داروین و نظریه وراثتی مندل</w:t>
            </w:r>
          </w:p>
        </w:tc>
      </w:tr>
      <w:tr w:rsidR="00AF448F" w:rsidTr="00930042">
        <w:tc>
          <w:tcPr>
            <w:tcW w:w="1842" w:type="dxa"/>
          </w:tcPr>
          <w:p w:rsidR="00AF448F" w:rsidRPr="004551BA" w:rsidRDefault="00AF448F" w:rsidP="00AF448F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پنجم</w:t>
            </w:r>
          </w:p>
        </w:tc>
        <w:tc>
          <w:tcPr>
            <w:tcW w:w="7511" w:type="dxa"/>
          </w:tcPr>
          <w:p w:rsidR="00AF448F" w:rsidRPr="00886819" w:rsidRDefault="00AF448F" w:rsidP="005828BA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شواهد </w:t>
            </w:r>
            <w:r w:rsidR="005828BA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فرگشتی</w:t>
            </w: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: فرگشت در مقیاس کوچک، شواهد مولکولی، </w:t>
            </w:r>
          </w:p>
        </w:tc>
      </w:tr>
      <w:tr w:rsidR="00AF448F" w:rsidTr="00930042">
        <w:tc>
          <w:tcPr>
            <w:tcW w:w="1842" w:type="dxa"/>
          </w:tcPr>
          <w:p w:rsidR="00AF448F" w:rsidRPr="004551BA" w:rsidRDefault="00AF448F" w:rsidP="00AF448F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ششم</w:t>
            </w:r>
          </w:p>
        </w:tc>
        <w:tc>
          <w:tcPr>
            <w:tcW w:w="7511" w:type="dxa"/>
          </w:tcPr>
          <w:p w:rsidR="00AF448F" w:rsidRPr="00886819" w:rsidRDefault="002B0FAA" w:rsidP="005828BA">
            <w:pPr>
              <w:bidi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ایجاد </w:t>
            </w:r>
            <w:r w:rsidR="005828BA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فرگشت</w:t>
            </w: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 از طریق انتخاب مصنوعی، شواهد ریخت شناسی (ساختارهای همولوگ)، گونه های حلقه، شواهد فسیلی</w:t>
            </w:r>
          </w:p>
        </w:tc>
      </w:tr>
      <w:tr w:rsidR="002B0FAA" w:rsidTr="00930042">
        <w:tc>
          <w:tcPr>
            <w:tcW w:w="1842" w:type="dxa"/>
          </w:tcPr>
          <w:p w:rsidR="002B0FAA" w:rsidRDefault="002B0FAA" w:rsidP="002B0FAA">
            <w:pPr>
              <w:bidi/>
              <w:rPr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هفتم</w:t>
            </w:r>
          </w:p>
        </w:tc>
        <w:tc>
          <w:tcPr>
            <w:tcW w:w="7511" w:type="dxa"/>
          </w:tcPr>
          <w:p w:rsidR="002B0FAA" w:rsidRPr="00886819" w:rsidRDefault="002B0FAA" w:rsidP="002B0FAA">
            <w:pPr>
              <w:bidi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تئوری انتخاب طبیعی، تنوعات درون جمعیتی، همولوژی و آنالوژی، </w:t>
            </w:r>
          </w:p>
        </w:tc>
      </w:tr>
      <w:tr w:rsidR="002B0FAA" w:rsidTr="00930042">
        <w:tc>
          <w:tcPr>
            <w:tcW w:w="1842" w:type="dxa"/>
          </w:tcPr>
          <w:p w:rsidR="002B0FAA" w:rsidRDefault="002B0FAA" w:rsidP="002B0FAA">
            <w:pPr>
              <w:bidi/>
              <w:rPr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هشتم</w:t>
            </w:r>
          </w:p>
        </w:tc>
        <w:tc>
          <w:tcPr>
            <w:tcW w:w="7511" w:type="dxa"/>
          </w:tcPr>
          <w:p w:rsidR="002B0FAA" w:rsidRPr="00886819" w:rsidRDefault="002B0FAA" w:rsidP="002B0FAA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منشا تنوع (جهش و نوترکیبی)، </w:t>
            </w:r>
          </w:p>
        </w:tc>
      </w:tr>
      <w:tr w:rsidR="002B0FAA" w:rsidTr="00930042">
        <w:tc>
          <w:tcPr>
            <w:tcW w:w="1842" w:type="dxa"/>
          </w:tcPr>
          <w:p w:rsidR="002B0FAA" w:rsidRDefault="002B0FAA" w:rsidP="002B0FAA">
            <w:pPr>
              <w:bidi/>
              <w:rPr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نهم</w:t>
            </w:r>
          </w:p>
        </w:tc>
        <w:tc>
          <w:tcPr>
            <w:tcW w:w="7511" w:type="dxa"/>
          </w:tcPr>
          <w:p w:rsidR="002B0FAA" w:rsidRPr="00886819" w:rsidRDefault="002B0FAA" w:rsidP="002B0FAA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انواع انتخاب طبیعی (جهت دار، سرکوبگر و تثبیت کننده)</w:t>
            </w:r>
          </w:p>
        </w:tc>
      </w:tr>
      <w:tr w:rsidR="002B0FAA" w:rsidTr="00930042">
        <w:tc>
          <w:tcPr>
            <w:tcW w:w="1842" w:type="dxa"/>
          </w:tcPr>
          <w:p w:rsidR="002B0FAA" w:rsidRDefault="002B0FAA" w:rsidP="002B0FAA">
            <w:pPr>
              <w:bidi/>
              <w:rPr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دهم</w:t>
            </w:r>
          </w:p>
        </w:tc>
        <w:tc>
          <w:tcPr>
            <w:tcW w:w="7511" w:type="dxa"/>
          </w:tcPr>
          <w:p w:rsidR="002B0FAA" w:rsidRPr="00886819" w:rsidRDefault="002B0FAA" w:rsidP="002B0FAA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ژنتیک جمعیت، اصل هاردی واینبرگ، رابطه ژنتیک جمعیت و انتخاب طبیعی، تعریف شایستگی</w:t>
            </w:r>
          </w:p>
        </w:tc>
      </w:tr>
      <w:tr w:rsidR="002B0FAA" w:rsidTr="00930042">
        <w:tc>
          <w:tcPr>
            <w:tcW w:w="1842" w:type="dxa"/>
          </w:tcPr>
          <w:p w:rsidR="002B0FAA" w:rsidRDefault="002B0FAA" w:rsidP="002B0FAA">
            <w:pPr>
              <w:bidi/>
              <w:rPr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یازدهم</w:t>
            </w:r>
          </w:p>
        </w:tc>
        <w:tc>
          <w:tcPr>
            <w:tcW w:w="7511" w:type="dxa"/>
          </w:tcPr>
          <w:p w:rsidR="002B0FAA" w:rsidRPr="00F26C38" w:rsidRDefault="002B0FAA" w:rsidP="002B0FAA">
            <w:pPr>
              <w:bidi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رانش ژنتیکی، اثر بیانگذار، اثر تنگنا، شارش ژنی، </w:t>
            </w:r>
          </w:p>
        </w:tc>
      </w:tr>
      <w:tr w:rsidR="002B0FAA" w:rsidTr="00930042">
        <w:tc>
          <w:tcPr>
            <w:tcW w:w="1842" w:type="dxa"/>
          </w:tcPr>
          <w:p w:rsidR="002B0FAA" w:rsidRDefault="002B0FAA" w:rsidP="002B0FAA">
            <w:pPr>
              <w:bidi/>
              <w:rPr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دوازدهم</w:t>
            </w:r>
          </w:p>
        </w:tc>
        <w:tc>
          <w:tcPr>
            <w:tcW w:w="7511" w:type="dxa"/>
          </w:tcPr>
          <w:p w:rsidR="002B0FAA" w:rsidRPr="00F26C38" w:rsidRDefault="002B0FAA" w:rsidP="002B0FAA">
            <w:pPr>
              <w:bidi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رابطه انتخاب طبیعی و رانش ژنتیکی، </w:t>
            </w:r>
          </w:p>
        </w:tc>
      </w:tr>
      <w:tr w:rsidR="002B0FAA" w:rsidTr="00930042">
        <w:tc>
          <w:tcPr>
            <w:tcW w:w="1842" w:type="dxa"/>
          </w:tcPr>
          <w:p w:rsidR="002B0FAA" w:rsidRDefault="002B0FAA" w:rsidP="002B0FAA">
            <w:pPr>
              <w:bidi/>
              <w:rPr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سیزدهم</w:t>
            </w:r>
          </w:p>
        </w:tc>
        <w:tc>
          <w:tcPr>
            <w:tcW w:w="7511" w:type="dxa"/>
          </w:tcPr>
          <w:p w:rsidR="002B0FAA" w:rsidRPr="00F26C38" w:rsidRDefault="002B0FAA" w:rsidP="002B0FAA">
            <w:pPr>
              <w:bidi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تئوری خنثی فرگشت مولکولی، جمعیت موثر</w:t>
            </w:r>
          </w:p>
        </w:tc>
      </w:tr>
      <w:tr w:rsidR="002B0FAA" w:rsidTr="00930042">
        <w:tc>
          <w:tcPr>
            <w:tcW w:w="1842" w:type="dxa"/>
          </w:tcPr>
          <w:p w:rsidR="002B0FAA" w:rsidRDefault="002B0FAA" w:rsidP="002B0FAA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چهاردهم</w:t>
            </w:r>
          </w:p>
        </w:tc>
        <w:tc>
          <w:tcPr>
            <w:tcW w:w="7511" w:type="dxa"/>
          </w:tcPr>
          <w:p w:rsidR="002B0FAA" w:rsidRPr="00F26C38" w:rsidRDefault="002B0FAA" w:rsidP="002B0FAA">
            <w:pPr>
              <w:bidi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فرگشت جنسی، مزایا و منافع تولید مثل جنسی و غیرجنسی، مزایای پاتنوژنی، هزینه و مزایای تولیدمثل جنسی، انتخاب جنسی، نسبت جنسی</w:t>
            </w:r>
          </w:p>
        </w:tc>
      </w:tr>
      <w:tr w:rsidR="002B0FAA" w:rsidTr="00930042">
        <w:tc>
          <w:tcPr>
            <w:tcW w:w="1842" w:type="dxa"/>
          </w:tcPr>
          <w:p w:rsidR="002B0FAA" w:rsidRDefault="002B0FAA" w:rsidP="002B0FAA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پانزدهم</w:t>
            </w:r>
          </w:p>
        </w:tc>
        <w:tc>
          <w:tcPr>
            <w:tcW w:w="7511" w:type="dxa"/>
          </w:tcPr>
          <w:p w:rsidR="002B0FAA" w:rsidRPr="00F26C38" w:rsidRDefault="002B0FAA" w:rsidP="002B0FAA">
            <w:pPr>
              <w:bidi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جغرافیای زیستی و فرگشت، شواهد جغرافیایی برای فرگشت، اشتقاق قاره ها، الگوهای اصلی در پراکنش گونه ها</w:t>
            </w:r>
          </w:p>
        </w:tc>
      </w:tr>
      <w:tr w:rsidR="002B0FAA" w:rsidTr="00930042">
        <w:tc>
          <w:tcPr>
            <w:tcW w:w="1842" w:type="dxa"/>
          </w:tcPr>
          <w:p w:rsidR="002B0FAA" w:rsidRDefault="002B0FAA" w:rsidP="002B0FAA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شانزدهم</w:t>
            </w:r>
          </w:p>
        </w:tc>
        <w:tc>
          <w:tcPr>
            <w:tcW w:w="7511" w:type="dxa"/>
          </w:tcPr>
          <w:p w:rsidR="002B0FAA" w:rsidRPr="00F26C38" w:rsidRDefault="002B0FAA" w:rsidP="002B0FAA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گونه و گونه زایی، تعاریف ارائه شده برای گونه، </w:t>
            </w:r>
          </w:p>
        </w:tc>
      </w:tr>
      <w:tr w:rsidR="002B0FAA" w:rsidTr="00930042">
        <w:tc>
          <w:tcPr>
            <w:tcW w:w="1842" w:type="dxa"/>
          </w:tcPr>
          <w:p w:rsidR="002B0FAA" w:rsidRDefault="002B0FAA" w:rsidP="002B0FAA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هفدهم</w:t>
            </w:r>
          </w:p>
        </w:tc>
        <w:tc>
          <w:tcPr>
            <w:tcW w:w="7511" w:type="dxa"/>
          </w:tcPr>
          <w:p w:rsidR="002B0FAA" w:rsidRPr="00F26C38" w:rsidRDefault="002B0FAA" w:rsidP="002B0FAA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مدل های گونه زائی، پولی پلوئیدی و گونه زایی، هیبرید</w:t>
            </w:r>
          </w:p>
        </w:tc>
      </w:tr>
      <w:tr w:rsidR="002B0FAA" w:rsidTr="00930042">
        <w:tc>
          <w:tcPr>
            <w:tcW w:w="1842" w:type="dxa"/>
          </w:tcPr>
          <w:p w:rsidR="002B0FAA" w:rsidRDefault="002B0FAA" w:rsidP="002B0FAA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هجدهم</w:t>
            </w:r>
          </w:p>
        </w:tc>
        <w:tc>
          <w:tcPr>
            <w:tcW w:w="7511" w:type="dxa"/>
          </w:tcPr>
          <w:p w:rsidR="002B0FAA" w:rsidRPr="00F26C38" w:rsidRDefault="002B0FAA" w:rsidP="002B0FAA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تبارزایی، کلادیستیک، فرضیه های تبارزایی، ساعت های مولکولی</w:t>
            </w:r>
          </w:p>
        </w:tc>
      </w:tr>
      <w:tr w:rsidR="002B0FAA" w:rsidTr="00930042">
        <w:tc>
          <w:tcPr>
            <w:tcW w:w="1842" w:type="dxa"/>
          </w:tcPr>
          <w:p w:rsidR="002B0FAA" w:rsidRDefault="002B0FAA" w:rsidP="002B0FAA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نوزدهم</w:t>
            </w:r>
          </w:p>
        </w:tc>
        <w:tc>
          <w:tcPr>
            <w:tcW w:w="7511" w:type="dxa"/>
          </w:tcPr>
          <w:p w:rsidR="002B0FAA" w:rsidRPr="00F26C38" w:rsidRDefault="002B0FAA" w:rsidP="005828BA">
            <w:pPr>
              <w:bidi/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/>
                <w:sz w:val="20"/>
                <w:szCs w:val="24"/>
                <w:lang w:bidi="fa-IR"/>
              </w:rPr>
              <w:t>Coevolution</w:t>
            </w: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، مثالی از </w:t>
            </w:r>
            <w:r w:rsidR="005828BA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فرگشت</w:t>
            </w: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 همزمان شکار و شکارچی، گیاهان و گیاهخواران، گیاهان و حشرات گرده افشان، </w:t>
            </w:r>
          </w:p>
        </w:tc>
      </w:tr>
      <w:tr w:rsidR="002B0FAA" w:rsidTr="00930042">
        <w:tc>
          <w:tcPr>
            <w:tcW w:w="1842" w:type="dxa"/>
          </w:tcPr>
          <w:p w:rsidR="002B0FAA" w:rsidRDefault="002B0FAA" w:rsidP="002B0FAA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بیستم</w:t>
            </w:r>
          </w:p>
        </w:tc>
        <w:tc>
          <w:tcPr>
            <w:tcW w:w="7511" w:type="dxa"/>
          </w:tcPr>
          <w:p w:rsidR="002B0FAA" w:rsidRPr="00F26C38" w:rsidRDefault="002B0FAA" w:rsidP="002B0FAA">
            <w:pPr>
              <w:bidi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فسیل شناسی، شرایط تشکیل فسیل، فسیل ها و تبارزایی، </w:t>
            </w:r>
          </w:p>
        </w:tc>
      </w:tr>
      <w:tr w:rsidR="002B0FAA" w:rsidTr="00930042">
        <w:tc>
          <w:tcPr>
            <w:tcW w:w="1842" w:type="dxa"/>
          </w:tcPr>
          <w:p w:rsidR="002B0FAA" w:rsidRDefault="002B0FAA" w:rsidP="002B0FAA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lastRenderedPageBreak/>
              <w:t>جلسه بیست و یکم</w:t>
            </w:r>
          </w:p>
        </w:tc>
        <w:tc>
          <w:tcPr>
            <w:tcW w:w="7511" w:type="dxa"/>
          </w:tcPr>
          <w:p w:rsidR="002B0FAA" w:rsidRPr="00F26C38" w:rsidRDefault="002B0FAA" w:rsidP="002B0FAA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مسیرهای فرگشتی، کالیبره کردن درخت های فرگشتی با استفاده از فسیل ها</w:t>
            </w:r>
          </w:p>
        </w:tc>
      </w:tr>
      <w:tr w:rsidR="002B0FAA" w:rsidTr="00930042">
        <w:tc>
          <w:tcPr>
            <w:tcW w:w="1842" w:type="dxa"/>
          </w:tcPr>
          <w:p w:rsidR="002B0FAA" w:rsidRDefault="002B0FAA" w:rsidP="002B0FAA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بیست و دوم</w:t>
            </w:r>
          </w:p>
        </w:tc>
        <w:tc>
          <w:tcPr>
            <w:tcW w:w="7511" w:type="dxa"/>
          </w:tcPr>
          <w:p w:rsidR="002B0FAA" w:rsidRPr="00F26C38" w:rsidRDefault="002B0FAA" w:rsidP="002B0FAA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تاریخچه حیات: تاریخ فرگشتی جانوران</w:t>
            </w:r>
          </w:p>
        </w:tc>
      </w:tr>
      <w:tr w:rsidR="002B0FAA" w:rsidTr="00930042">
        <w:tc>
          <w:tcPr>
            <w:tcW w:w="1842" w:type="dxa"/>
          </w:tcPr>
          <w:p w:rsidR="002B0FAA" w:rsidRDefault="002B0FAA" w:rsidP="002B0FAA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بیست و سوم</w:t>
            </w:r>
          </w:p>
        </w:tc>
        <w:tc>
          <w:tcPr>
            <w:tcW w:w="7511" w:type="dxa"/>
          </w:tcPr>
          <w:p w:rsidR="002B0FAA" w:rsidRPr="00F26C38" w:rsidRDefault="002B0FAA" w:rsidP="002B0FAA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تاریخچه حیات: تاریخ فرگشتی گیاهان</w:t>
            </w:r>
          </w:p>
        </w:tc>
      </w:tr>
      <w:tr w:rsidR="002B0FAA" w:rsidTr="00930042">
        <w:tc>
          <w:tcPr>
            <w:tcW w:w="1842" w:type="dxa"/>
          </w:tcPr>
          <w:p w:rsidR="002B0FAA" w:rsidRDefault="002B0FAA" w:rsidP="002B0FAA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بیست و چهارم</w:t>
            </w:r>
          </w:p>
        </w:tc>
        <w:tc>
          <w:tcPr>
            <w:tcW w:w="7511" w:type="dxa"/>
          </w:tcPr>
          <w:p w:rsidR="002B0FAA" w:rsidRPr="00F26C38" w:rsidRDefault="002B0FAA" w:rsidP="002B0FAA">
            <w:pPr>
              <w:bidi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علم فرگشت و جامعه و دیدگاه اسلام در رابطه با فرگشت موجودات زنده</w:t>
            </w:r>
          </w:p>
        </w:tc>
      </w:tr>
    </w:tbl>
    <w:p w:rsidR="004551BA" w:rsidRDefault="004551BA" w:rsidP="004551BA">
      <w:pPr>
        <w:bidi/>
        <w:rPr>
          <w:rtl/>
          <w:lang w:bidi="fa-IR"/>
        </w:rPr>
      </w:pPr>
    </w:p>
    <w:sectPr w:rsidR="004551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1BA"/>
    <w:rsid w:val="000B0F60"/>
    <w:rsid w:val="0014559C"/>
    <w:rsid w:val="002B0FAA"/>
    <w:rsid w:val="002F564F"/>
    <w:rsid w:val="00300441"/>
    <w:rsid w:val="004551BA"/>
    <w:rsid w:val="0047222F"/>
    <w:rsid w:val="00475849"/>
    <w:rsid w:val="004B35D7"/>
    <w:rsid w:val="004D1F5F"/>
    <w:rsid w:val="005828BA"/>
    <w:rsid w:val="005A2E10"/>
    <w:rsid w:val="0070797D"/>
    <w:rsid w:val="0073198D"/>
    <w:rsid w:val="007B7567"/>
    <w:rsid w:val="00840480"/>
    <w:rsid w:val="00886819"/>
    <w:rsid w:val="00930042"/>
    <w:rsid w:val="00941D95"/>
    <w:rsid w:val="0095517A"/>
    <w:rsid w:val="0099402C"/>
    <w:rsid w:val="00AF448F"/>
    <w:rsid w:val="00CD49AC"/>
    <w:rsid w:val="00D2640C"/>
    <w:rsid w:val="00D77437"/>
    <w:rsid w:val="00E87EDB"/>
    <w:rsid w:val="00F1565A"/>
    <w:rsid w:val="00F26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56A489E5"/>
  <w15:chartTrackingRefBased/>
  <w15:docId w15:val="{F2009D06-96E6-4A3F-B78D-B2DE5D418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551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5</cp:revision>
  <dcterms:created xsi:type="dcterms:W3CDTF">2020-12-18T09:40:00Z</dcterms:created>
  <dcterms:modified xsi:type="dcterms:W3CDTF">2020-12-18T10:34:00Z</dcterms:modified>
</cp:coreProperties>
</file>