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bookmarkStart w:id="0" w:name="_GoBack"/>
      <w:bookmarkEnd w:id="0"/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D2190A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D2190A">
        <w:rPr>
          <w:rFonts w:cs="B Nazanin" w:hint="cs"/>
          <w:b/>
          <w:bCs/>
          <w:sz w:val="24"/>
          <w:szCs w:val="24"/>
          <w:rtl/>
          <w:lang w:bidi="fa-IR"/>
        </w:rPr>
        <w:t xml:space="preserve">کسب و کار الکترونیکی </w:t>
      </w:r>
      <w:r w:rsidR="00E82544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 ارشد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>: 2</w:t>
      </w:r>
    </w:p>
    <w:p w:rsidR="003A2F64" w:rsidRPr="00940393" w:rsidRDefault="003A2F64" w:rsidP="00E82544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>نیمسال اول سال تحصیلی 9</w:t>
      </w:r>
      <w:r w:rsidR="00E82544">
        <w:rPr>
          <w:rFonts w:eastAsiaTheme="minorEastAsia" w:cs="B Nazanin" w:hint="cs"/>
          <w:sz w:val="24"/>
          <w:szCs w:val="24"/>
          <w:rtl/>
        </w:rPr>
        <w:t>4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E82544">
        <w:rPr>
          <w:rFonts w:eastAsiaTheme="minorEastAsia" w:cs="B Nazanin" w:hint="cs"/>
          <w:sz w:val="24"/>
          <w:szCs w:val="24"/>
          <w:rtl/>
        </w:rPr>
        <w:t>3</w:t>
      </w:r>
    </w:p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cs="B Nazanin" w:hint="cs"/>
          <w:sz w:val="24"/>
          <w:szCs w:val="24"/>
          <w:rtl/>
        </w:rPr>
        <w:t>علی اصغر تباوار،دکترای مدیریت بازاریابی</w:t>
      </w:r>
    </w:p>
    <w:p w:rsidR="003A2F64" w:rsidRPr="00940393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940393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8D3580" w:rsidRDefault="00D2190A" w:rsidP="00D2190A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</w:rPr>
      </w:pPr>
      <w:r w:rsidRPr="00D2190A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تجارت الكترونيك: مفاهيم و كاربردها. ترجمه دكتر عباس معمارنژاد. همدان: انتشارات نور علم، 1385</w:t>
      </w:r>
    </w:p>
    <w:p w:rsidR="001B3C32" w:rsidRPr="001B3C32" w:rsidRDefault="001B3C32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B3C3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احمد پور داریانی،محمود،فرخ حیاتی،اشکان،کارآفرینی در کسب و کار اینترنتی،انتشارات محراب قلم،1384</w:t>
      </w:r>
    </w:p>
    <w:p w:rsidR="001B3C32" w:rsidRPr="00D2190A" w:rsidRDefault="001B3C32" w:rsidP="001B3C32">
      <w:pPr>
        <w:pStyle w:val="ListParagraph"/>
        <w:numPr>
          <w:ilvl w:val="0"/>
          <w:numId w:val="10"/>
        </w:numPr>
        <w:bidi/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1B3C32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جکلین استون،افسون اینترنت،رموز موفقیت پیشگامان تجارت الکترونیک،ترجمه:آزیتا و آنیتا ذوالنور،انتشارات ارمغان نشر امروز،1391</w:t>
      </w:r>
    </w:p>
    <w:p w:rsidR="008D3580" w:rsidRPr="00D2190A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D2190A">
        <w:rPr>
          <w:rFonts w:asciiTheme="majorBidi" w:eastAsia="Times New Roman" w:hAnsiTheme="majorBidi" w:cs="B Nazanin"/>
          <w:sz w:val="24"/>
          <w:szCs w:val="24"/>
        </w:rPr>
        <w:t xml:space="preserve">Electronic commerce: A managerial perspective. Turban, </w:t>
      </w:r>
      <w:proofErr w:type="spellStart"/>
      <w:r w:rsidRPr="00D2190A">
        <w:rPr>
          <w:rFonts w:asciiTheme="majorBidi" w:eastAsia="Times New Roman" w:hAnsiTheme="majorBidi" w:cs="B Nazanin"/>
          <w:sz w:val="24"/>
          <w:szCs w:val="24"/>
        </w:rPr>
        <w:t>Efraim</w:t>
      </w:r>
      <w:proofErr w:type="spellEnd"/>
      <w:r w:rsidRPr="00D2190A">
        <w:rPr>
          <w:rFonts w:asciiTheme="majorBidi" w:eastAsia="Times New Roman" w:hAnsiTheme="majorBidi" w:cs="B Nazanin"/>
          <w:sz w:val="24"/>
          <w:szCs w:val="24"/>
        </w:rPr>
        <w:t>, 2008.</w:t>
      </w:r>
    </w:p>
    <w:p w:rsidR="008D3580" w:rsidRPr="00D2190A" w:rsidRDefault="00D2190A" w:rsidP="00D2190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D2190A">
        <w:rPr>
          <w:rFonts w:asciiTheme="majorBidi" w:eastAsia="Times New Roman" w:hAnsiTheme="majorBidi" w:cs="B Nazanin"/>
          <w:sz w:val="24"/>
          <w:szCs w:val="24"/>
        </w:rPr>
        <w:t xml:space="preserve">Electronic commerce: Business, Technology, society. </w:t>
      </w:r>
      <w:proofErr w:type="spellStart"/>
      <w:r w:rsidRPr="00D2190A">
        <w:rPr>
          <w:rFonts w:asciiTheme="majorBidi" w:eastAsia="Times New Roman" w:hAnsiTheme="majorBidi" w:cs="B Nazanin"/>
          <w:sz w:val="24"/>
          <w:szCs w:val="24"/>
        </w:rPr>
        <w:t>Laundon</w:t>
      </w:r>
      <w:proofErr w:type="spellEnd"/>
      <w:r w:rsidRPr="00D2190A">
        <w:rPr>
          <w:rFonts w:asciiTheme="majorBidi" w:eastAsia="Times New Roman" w:hAnsiTheme="majorBidi" w:cs="B Nazanin"/>
          <w:sz w:val="24"/>
          <w:szCs w:val="24"/>
        </w:rPr>
        <w:t>, Kenneth C. 200</w:t>
      </w:r>
    </w:p>
    <w:p w:rsidR="00E82544" w:rsidRDefault="00E82544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1.     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Kleindl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Brad, 2007, </w:t>
      </w:r>
      <w:r w:rsidRPr="00940393">
        <w:rPr>
          <w:rFonts w:asciiTheme="majorBidi" w:eastAsia="Times New Roman" w:hAnsiTheme="majorBidi" w:cs="B Nazanin"/>
          <w:b/>
          <w:bCs/>
          <w:i/>
          <w:iCs/>
          <w:sz w:val="24"/>
          <w:szCs w:val="24"/>
        </w:rPr>
        <w:t>International marketing</w:t>
      </w: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, Thomson South-Western 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2.      Johnson K.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Johny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, 2003, </w:t>
      </w:r>
      <w:r w:rsidRPr="00940393">
        <w:rPr>
          <w:rFonts w:asciiTheme="majorBidi" w:eastAsia="Times New Roman" w:hAnsiTheme="majorBidi" w:cs="B Nazanin"/>
          <w:b/>
          <w:bCs/>
          <w:i/>
          <w:iCs/>
          <w:sz w:val="24"/>
          <w:szCs w:val="24"/>
        </w:rPr>
        <w:t>Global marketing</w:t>
      </w:r>
      <w:r w:rsidRPr="00940393">
        <w:rPr>
          <w:rFonts w:asciiTheme="majorBidi" w:eastAsia="Times New Roman" w:hAnsiTheme="majorBidi" w:cs="B Nazanin"/>
          <w:sz w:val="24"/>
          <w:szCs w:val="24"/>
        </w:rPr>
        <w:t>, McGraw-Hill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كي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گان جي وارن، 1383، </w:t>
      </w: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مديريت بازاريابي جهاني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، ترجمه دكتر ابراهيمي، دفتر پژوهش‌هاي فرهنگي.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4.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كتئوراآر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.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فيليپ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وگراهامال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.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جان،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1383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بازاريابي بين‌المللي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، ترجمه هاشم نيكومرام و محمدعلي عبدالوند، انتشارات دانشگاه آزاد.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اختراساچ،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1380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بازاريابي جهاني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، ترجمه حسن اسماعيل‌پور و محسن نجفيان، نشرنگاه دانش.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اسماعيل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پورحسن،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1385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مديريت بازاريابي بين المللي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، نشرنگاه دانش.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7.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برانچآلنای،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1375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مدیریت بازاریابی صادرات (راهنمایی کاربردی)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، محمد ابراهیم گوهریان، موسسه مطالعات و پژوهشهای بازرگانی.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8.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حسینی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میرزاحسن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وفروزنده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دهکردی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لطف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الله،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1386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7" w:history="1">
        <w:r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بازاریابی بین المللی (رشته مدیریت بازرگانی)</w:t>
        </w:r>
      </w:hyperlink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انتشارات دانشگاه پیام نور. 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lastRenderedPageBreak/>
        <w:t>9.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میرآبی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وحیدرضا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سرمدسعیدی سهیل و ظفرمند پروانه، 1382، </w:t>
      </w:r>
      <w:hyperlink r:id="rId8" w:history="1">
        <w:r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بازاریابی بین الملل</w:t>
        </w:r>
      </w:hyperlink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انتشارات اندیشه های گوهربار </w:t>
      </w:r>
    </w:p>
    <w:p w:rsidR="00F27192" w:rsidRDefault="007E5667" w:rsidP="00F2719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10.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واعظی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حمیده،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1384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9" w:history="1">
        <w:r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بازاریابی و شناخت بازارهای جهانی فرش دستباف</w:t>
        </w:r>
      </w:hyperlink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انتشارات ودیعت. </w:t>
      </w:r>
    </w:p>
    <w:p w:rsidR="007E5667" w:rsidRPr="00940393" w:rsidRDefault="00F27192" w:rsidP="00F2719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</w:rPr>
        <w:t>11.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جاویدی زرگری مسعود و عباسی فرزاد، 1384، </w:t>
      </w:r>
      <w:hyperlink r:id="rId10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استراتژی های بازاریابی بین الملل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، انتشارات کنکاش دانش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br/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12.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سندهازن ریچارد،1384، </w:t>
      </w:r>
      <w:hyperlink r:id="rId11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بازاریابی جهانی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ترجمه محمدابراهیم گوهریان 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وهاشمنیکومرام،انتشاراتامیرکبیر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3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شهریاری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سیدعمادالدین،آقاموسی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رضا،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1384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r w:rsidR="007E5667"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مدیریت بازاریابی جهانی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انتشارات آذرپور. 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4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زریباف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مهدیوسیدتقی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حسینی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کیا،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1382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2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مدیریت بازاریابی جهانی، علمی - کاربردی جدید، برای استفاده ی اساتید، دانشجویان و مدیران شرکت ها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انتشارات گسترش علوم پایه. 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5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حقیقی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نسب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منیژه،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1383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3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اصول و مفاهیم بازاریابی بین الملل و جهانی با نگرش کاربردی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، انتشارات دانشگاه الزهرا .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6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دعایی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حبیبالله،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1385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4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مدیریت صادرات و واردات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، 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بیان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هدایت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نوروابسته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به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موسسه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فرهنگیبیان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7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حسینی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حسن،مبارکی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اکرم،کریمی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اوژنوپرهیزگارمحمدمهدی،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1387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5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مدیریت صادرات و واردات (رشته مدیریت بازرگانی)</w:t>
        </w:r>
        <w:r w:rsidR="007E5667" w:rsidRPr="00940393">
          <w:rPr>
            <w:rFonts w:asciiTheme="majorBidi" w:eastAsia="Times New Roman" w:hAnsiTheme="majorBidi" w:cs="B Nazanin"/>
            <w:sz w:val="24"/>
            <w:szCs w:val="24"/>
            <w:rtl/>
          </w:rPr>
          <w:t xml:space="preserve">، 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دانشگاه پیام نور.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8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زینال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زاده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ایرج،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1385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6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مدیریت صادرات کالا و خدمات: استراتژی توسعه صادرات، انتخاب بازارهای هدف، نحوه ورود به بازارهای خارجی، برنامه ریزی صادرات، مراحل صادرات و ...</w:t>
        </w:r>
        <w:r w:rsidR="007E5667" w:rsidRPr="00940393">
          <w:rPr>
            <w:rFonts w:asciiTheme="majorBidi" w:eastAsia="Times New Roman" w:hAnsiTheme="majorBidi" w:cs="B Nazanin"/>
            <w:sz w:val="24"/>
            <w:szCs w:val="24"/>
            <w:rtl/>
          </w:rPr>
          <w:t xml:space="preserve">، </w:t>
        </w:r>
      </w:hyperlink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انتشارات قانون.</w:t>
      </w:r>
    </w:p>
    <w:p w:rsidR="007E5667" w:rsidRPr="00940393" w:rsidRDefault="00F27192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>
        <w:rPr>
          <w:rFonts w:asciiTheme="majorBidi" w:eastAsia="Times New Roman" w:hAnsiTheme="majorBidi" w:cs="B Nazanin"/>
          <w:sz w:val="24"/>
          <w:szCs w:val="24"/>
          <w:rtl/>
        </w:rPr>
        <w:t>1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>9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>.</w:t>
      </w:r>
      <w:r w:rsidR="007E5667"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مولوی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خراسانی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مهرداد،</w:t>
      </w:r>
      <w:r w:rsidR="007E5667"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1387</w:t>
      </w:r>
      <w:r w:rsidR="007E5667" w:rsidRPr="00940393">
        <w:rPr>
          <w:rFonts w:asciiTheme="majorBidi" w:eastAsia="Times New Roman" w:hAnsiTheme="majorBidi" w:cs="B Nazanin" w:hint="cs"/>
          <w:sz w:val="24"/>
          <w:szCs w:val="24"/>
          <w:rtl/>
        </w:rPr>
        <w:t>،</w:t>
      </w:r>
      <w:hyperlink r:id="rId17" w:history="1">
        <w:r w:rsidR="007E5667" w:rsidRPr="00940393">
          <w:rPr>
            <w:rFonts w:asciiTheme="majorBidi" w:eastAsia="Times New Roman" w:hAnsiTheme="majorBidi" w:cs="B Nazanin"/>
            <w:b/>
            <w:bCs/>
            <w:sz w:val="24"/>
            <w:szCs w:val="24"/>
            <w:rtl/>
          </w:rPr>
          <w:t>صادرات گام به گام (راهنمای عملی صادرات کالا و خدمات)</w:t>
        </w:r>
        <w:r w:rsidR="007E5667" w:rsidRPr="00940393">
          <w:rPr>
            <w:rFonts w:asciiTheme="majorBidi" w:eastAsia="Times New Roman" w:hAnsiTheme="majorBidi" w:cs="B Nazanin"/>
            <w:sz w:val="24"/>
            <w:szCs w:val="24"/>
            <w:rtl/>
          </w:rPr>
          <w:t xml:space="preserve">، انتشارات مبلغان. </w:t>
        </w:r>
      </w:hyperlink>
    </w:p>
    <w:p w:rsidR="007E5667" w:rsidRPr="00940393" w:rsidRDefault="00912172" w:rsidP="001B3C32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hyperlink r:id="rId18" w:history="1">
        <w:r w:rsidR="007E5667" w:rsidRPr="00940393">
          <w:rPr>
            <w:rFonts w:ascii="Times New Roman" w:eastAsia="Times New Roman" w:hAnsi="Times New Roman" w:cs="Times New Roman" w:hint="cs"/>
            <w:sz w:val="24"/>
            <w:szCs w:val="24"/>
            <w:rtl/>
          </w:rPr>
          <w:t> </w:t>
        </w:r>
      </w:hyperlink>
    </w:p>
    <w:sectPr w:rsidR="007E5667" w:rsidRPr="00940393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13159A"/>
    <w:rsid w:val="001B3C32"/>
    <w:rsid w:val="001F6DA2"/>
    <w:rsid w:val="00362B55"/>
    <w:rsid w:val="003A2F64"/>
    <w:rsid w:val="004A0D5C"/>
    <w:rsid w:val="005716F0"/>
    <w:rsid w:val="00617EFB"/>
    <w:rsid w:val="0073563F"/>
    <w:rsid w:val="00745820"/>
    <w:rsid w:val="007715EE"/>
    <w:rsid w:val="007A305C"/>
    <w:rsid w:val="007A450C"/>
    <w:rsid w:val="007C3095"/>
    <w:rsid w:val="007E5667"/>
    <w:rsid w:val="0081187F"/>
    <w:rsid w:val="008D3580"/>
    <w:rsid w:val="00912172"/>
    <w:rsid w:val="00940393"/>
    <w:rsid w:val="00AD1701"/>
    <w:rsid w:val="00C00D65"/>
    <w:rsid w:val="00C61748"/>
    <w:rsid w:val="00CC30D3"/>
    <w:rsid w:val="00D2190A"/>
    <w:rsid w:val="00E2526B"/>
    <w:rsid w:val="00E75B0A"/>
    <w:rsid w:val="00E82544"/>
    <w:rsid w:val="00F27192"/>
    <w:rsid w:val="00F3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nebook.com/gp/product/9648250014/ref=sr_1_1000_6/773-4807511-3394885" TargetMode="External"/><Relationship Id="rId13" Type="http://schemas.openxmlformats.org/officeDocument/2006/relationships/hyperlink" Target="http://www.adinebook.com/gp/product/9646366562/ref=sr_1_1000_6/773-4807511-3394885" TargetMode="External"/><Relationship Id="rId18" Type="http://schemas.openxmlformats.org/officeDocument/2006/relationships/hyperlink" Target="http://www.adinebook.com/gp/product/9649435301/ref=sr_1_1000_3/773-4807511-339488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inebook.com/gp/product/9643871207/ref=sr_1_1000_3/773-4807511-3394885" TargetMode="External"/><Relationship Id="rId12" Type="http://schemas.openxmlformats.org/officeDocument/2006/relationships/hyperlink" Target="http://www.adinebook.com/gp/product/9647817746/ref=sr_1_1000_5/773-4807511-3394885" TargetMode="External"/><Relationship Id="rId17" Type="http://schemas.openxmlformats.org/officeDocument/2006/relationships/hyperlink" Target="http://www.adinebook.com/gp/product/9649435301/ref=sr_1_1000_3/773-4807511-33948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inebook.com/gp/product/9646140629/ref=sr_1_1000_4/773-4807511-33948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11" Type="http://schemas.openxmlformats.org/officeDocument/2006/relationships/hyperlink" Target="http://www.adinebook.com/gp/product/9640009636/ref=sr_1_1000_1/773-4807511-33948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nebook.com/gp/product/9643873868/ref=sr_1_1000_2/773-4807511-3394885" TargetMode="External"/><Relationship Id="rId10" Type="http://schemas.openxmlformats.org/officeDocument/2006/relationships/hyperlink" Target="http://www.adinebook.com/gp/product/9649565949/ref=sr_1_1000_7/773-4807511-339488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inebook.com/gp/product/9647805381/ref=sr_1_1000_4/773-4807511-3394885" TargetMode="External"/><Relationship Id="rId14" Type="http://schemas.openxmlformats.org/officeDocument/2006/relationships/hyperlink" Target="http://www.adinebook.com/gp/product/9648472173/ref=sr_1_1000_1/773-4807511-339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D288-E831-4758-BD83-AFFBADB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usb</cp:lastModifiedBy>
  <cp:revision>2</cp:revision>
  <dcterms:created xsi:type="dcterms:W3CDTF">2018-11-05T07:37:00Z</dcterms:created>
  <dcterms:modified xsi:type="dcterms:W3CDTF">2018-11-05T07:37:00Z</dcterms:modified>
</cp:coreProperties>
</file>